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6DBC" w14:textId="2E037FCA" w:rsidR="004E5771" w:rsidRDefault="004E5771" w:rsidP="00DC42B3">
      <w:pPr>
        <w:pStyle w:val="a3"/>
        <w:tabs>
          <w:tab w:val="clear" w:pos="4677"/>
          <w:tab w:val="clear" w:pos="9355"/>
          <w:tab w:val="left" w:pos="1557"/>
        </w:tabs>
        <w:spacing w:line="235" w:lineRule="auto"/>
        <w:jc w:val="right"/>
        <w:rPr>
          <w:color w:val="402B72"/>
          <w:sz w:val="32"/>
        </w:rPr>
      </w:pPr>
    </w:p>
    <w:p w14:paraId="0FBDD428" w14:textId="77777777" w:rsidR="00370586" w:rsidRDefault="00370586" w:rsidP="00DC42B3">
      <w:pPr>
        <w:spacing w:line="235" w:lineRule="auto"/>
        <w:ind w:left="284"/>
        <w:jc w:val="center"/>
        <w:rPr>
          <w:rFonts w:eastAsia="Calibri"/>
          <w:b/>
        </w:rPr>
      </w:pPr>
    </w:p>
    <w:p w14:paraId="66E4249A" w14:textId="77777777" w:rsidR="00370586" w:rsidRDefault="00370586" w:rsidP="00DC42B3">
      <w:pPr>
        <w:spacing w:line="235" w:lineRule="auto"/>
        <w:ind w:left="284"/>
        <w:jc w:val="center"/>
        <w:rPr>
          <w:rFonts w:eastAsia="Calibri"/>
          <w:b/>
        </w:rPr>
      </w:pPr>
    </w:p>
    <w:p w14:paraId="61620A69" w14:textId="77777777" w:rsidR="00370586" w:rsidRDefault="00370586" w:rsidP="00DC42B3">
      <w:pPr>
        <w:spacing w:line="235" w:lineRule="auto"/>
        <w:ind w:left="284"/>
        <w:jc w:val="center"/>
        <w:rPr>
          <w:rFonts w:eastAsia="Calibri"/>
          <w:b/>
        </w:rPr>
      </w:pPr>
    </w:p>
    <w:p w14:paraId="031F4CEB" w14:textId="77777777" w:rsidR="00370586" w:rsidRDefault="00370586" w:rsidP="00DC42B3">
      <w:pPr>
        <w:spacing w:line="235" w:lineRule="auto"/>
        <w:ind w:left="284"/>
        <w:jc w:val="center"/>
        <w:rPr>
          <w:rFonts w:eastAsia="Calibri"/>
          <w:b/>
        </w:rPr>
      </w:pPr>
    </w:p>
    <w:p w14:paraId="590EBAE1" w14:textId="77777777" w:rsidR="00370586" w:rsidRDefault="00370586" w:rsidP="00DC42B3">
      <w:pPr>
        <w:spacing w:line="235" w:lineRule="auto"/>
        <w:ind w:left="284"/>
        <w:jc w:val="center"/>
        <w:rPr>
          <w:rFonts w:eastAsia="Calibri"/>
          <w:b/>
        </w:rPr>
      </w:pPr>
    </w:p>
    <w:p w14:paraId="01658A3C" w14:textId="62D679E2" w:rsidR="009A60C3" w:rsidRPr="00DC42B3" w:rsidRDefault="009A60C3" w:rsidP="00DC42B3">
      <w:pPr>
        <w:spacing w:line="235" w:lineRule="auto"/>
        <w:ind w:left="284"/>
        <w:jc w:val="center"/>
        <w:rPr>
          <w:rFonts w:eastAsia="Calibri"/>
          <w:b/>
        </w:rPr>
      </w:pPr>
      <w:r w:rsidRPr="00DC42B3">
        <w:rPr>
          <w:rFonts w:eastAsia="Calibri"/>
          <w:b/>
        </w:rPr>
        <w:t>РЕШЕНИЕ</w:t>
      </w:r>
    </w:p>
    <w:p w14:paraId="2F74D778" w14:textId="77777777" w:rsidR="009A60C3" w:rsidRPr="00DC42B3" w:rsidRDefault="009A60C3" w:rsidP="00DC42B3">
      <w:pPr>
        <w:spacing w:after="120" w:line="235" w:lineRule="auto"/>
        <w:ind w:left="284" w:right="-2"/>
        <w:jc w:val="center"/>
        <w:rPr>
          <w:rFonts w:eastAsia="Calibri"/>
          <w:b/>
        </w:rPr>
      </w:pPr>
      <w:r w:rsidRPr="00DC42B3">
        <w:rPr>
          <w:rFonts w:eastAsia="Calibri"/>
          <w:b/>
        </w:rPr>
        <w:t>о пересчете кадастровой стоимости</w:t>
      </w:r>
    </w:p>
    <w:p w14:paraId="307AEEDD" w14:textId="77777777" w:rsidR="009A60C3" w:rsidRPr="0021463F" w:rsidRDefault="009A60C3" w:rsidP="00DC42B3">
      <w:pPr>
        <w:spacing w:line="235" w:lineRule="auto"/>
        <w:contextualSpacing/>
        <w:jc w:val="center"/>
        <w:rPr>
          <w:rFonts w:eastAsia="Calibri"/>
          <w:b/>
        </w:rPr>
      </w:pPr>
    </w:p>
    <w:p w14:paraId="772A5236" w14:textId="6A0B3AE8" w:rsidR="009A60C3" w:rsidRPr="00B800F1" w:rsidRDefault="00B25FFF" w:rsidP="00DC42B3">
      <w:pPr>
        <w:spacing w:line="235" w:lineRule="auto"/>
        <w:ind w:right="-2"/>
        <w:rPr>
          <w:rFonts w:eastAsia="Calibri"/>
          <w:b/>
        </w:rPr>
      </w:pPr>
      <w:r w:rsidRPr="00B800F1">
        <w:rPr>
          <w:rFonts w:eastAsia="Calibri"/>
          <w:b/>
        </w:rPr>
        <w:t>«</w:t>
      </w:r>
      <w:r w:rsidR="009E277B" w:rsidRPr="00B800F1">
        <w:rPr>
          <w:rFonts w:eastAsia="Calibri"/>
          <w:b/>
        </w:rPr>
        <w:t>1</w:t>
      </w:r>
      <w:r w:rsidR="00B54D2E" w:rsidRPr="00370586">
        <w:rPr>
          <w:rFonts w:eastAsia="Calibri"/>
          <w:b/>
        </w:rPr>
        <w:t>9</w:t>
      </w:r>
      <w:r w:rsidRPr="00B800F1">
        <w:rPr>
          <w:rFonts w:eastAsia="Calibri"/>
          <w:b/>
        </w:rPr>
        <w:t xml:space="preserve">» </w:t>
      </w:r>
      <w:r w:rsidR="009E277B" w:rsidRPr="00B800F1">
        <w:rPr>
          <w:rFonts w:eastAsia="Calibri"/>
          <w:b/>
        </w:rPr>
        <w:t>июня</w:t>
      </w:r>
      <w:r w:rsidRPr="00B800F1">
        <w:rPr>
          <w:rFonts w:eastAsia="Calibri"/>
          <w:b/>
        </w:rPr>
        <w:t xml:space="preserve"> 202</w:t>
      </w:r>
      <w:r w:rsidR="002946DA" w:rsidRPr="00B800F1">
        <w:rPr>
          <w:rFonts w:eastAsia="Calibri"/>
          <w:b/>
        </w:rPr>
        <w:t>5</w:t>
      </w:r>
      <w:r w:rsidRPr="00B800F1">
        <w:rPr>
          <w:rFonts w:eastAsia="Calibri"/>
          <w:b/>
        </w:rPr>
        <w:t xml:space="preserve"> г.    </w:t>
      </w:r>
      <w:r w:rsidR="009A60C3" w:rsidRPr="00B800F1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B800F1">
        <w:rPr>
          <w:rFonts w:eastAsia="Calibri"/>
          <w:b/>
        </w:rPr>
        <w:t xml:space="preserve">    </w:t>
      </w:r>
      <w:r w:rsidR="000E26C4" w:rsidRPr="00B800F1">
        <w:rPr>
          <w:rFonts w:eastAsia="Calibri"/>
          <w:b/>
        </w:rPr>
        <w:t xml:space="preserve">   </w:t>
      </w:r>
      <w:r w:rsidR="00435521" w:rsidRPr="00B800F1">
        <w:rPr>
          <w:rFonts w:eastAsia="Calibri"/>
          <w:b/>
        </w:rPr>
        <w:t xml:space="preserve">            </w:t>
      </w:r>
      <w:r w:rsidR="000E26C4" w:rsidRPr="00B800F1">
        <w:rPr>
          <w:rFonts w:eastAsia="Calibri"/>
          <w:b/>
        </w:rPr>
        <w:t xml:space="preserve"> </w:t>
      </w:r>
      <w:r w:rsidR="00DC42B3">
        <w:rPr>
          <w:rFonts w:eastAsia="Calibri"/>
          <w:b/>
        </w:rPr>
        <w:t xml:space="preserve">     </w:t>
      </w:r>
      <w:r w:rsidR="009A60C3" w:rsidRPr="00B800F1">
        <w:rPr>
          <w:rFonts w:eastAsia="Calibri"/>
          <w:b/>
        </w:rPr>
        <w:t xml:space="preserve">№ </w:t>
      </w:r>
      <w:r w:rsidR="00CD7ECB" w:rsidRPr="00D60DA9">
        <w:rPr>
          <w:rFonts w:eastAsia="Calibri"/>
          <w:b/>
        </w:rPr>
        <w:t>369</w:t>
      </w:r>
      <w:r w:rsidR="009A60C3" w:rsidRPr="00B800F1">
        <w:rPr>
          <w:rFonts w:eastAsia="Calibri"/>
          <w:b/>
        </w:rPr>
        <w:t>/2</w:t>
      </w:r>
      <w:r w:rsidR="002946DA" w:rsidRPr="00B800F1">
        <w:rPr>
          <w:rFonts w:eastAsia="Calibri"/>
          <w:b/>
        </w:rPr>
        <w:t>5</w:t>
      </w:r>
    </w:p>
    <w:p w14:paraId="2DA0D379" w14:textId="77777777" w:rsidR="009A60C3" w:rsidRPr="00B800F1" w:rsidRDefault="009A60C3" w:rsidP="00DC42B3">
      <w:pPr>
        <w:spacing w:line="235" w:lineRule="auto"/>
        <w:ind w:right="-2"/>
        <w:jc w:val="both"/>
        <w:rPr>
          <w:rFonts w:eastAsia="Calibri"/>
        </w:rPr>
      </w:pPr>
    </w:p>
    <w:p w14:paraId="0DDD8FC5" w14:textId="11553CC5" w:rsidR="009A60C3" w:rsidRPr="00B800F1" w:rsidRDefault="009A60C3" w:rsidP="00DC42B3">
      <w:pPr>
        <w:spacing w:line="235" w:lineRule="auto"/>
        <w:ind w:left="5387" w:hanging="5387"/>
        <w:rPr>
          <w:rFonts w:eastAsia="Calibri"/>
          <w:b/>
        </w:rPr>
      </w:pPr>
      <w:r w:rsidRPr="00B800F1">
        <w:rPr>
          <w:rFonts w:eastAsia="Calibri"/>
          <w:b/>
        </w:rPr>
        <w:t>Реквизиты заявлени</w:t>
      </w:r>
      <w:r w:rsidR="001D41D0" w:rsidRPr="00B800F1">
        <w:rPr>
          <w:rFonts w:eastAsia="Calibri"/>
          <w:b/>
        </w:rPr>
        <w:t>я</w:t>
      </w:r>
      <w:r w:rsidRPr="00B800F1">
        <w:rPr>
          <w:rFonts w:eastAsia="Calibri"/>
          <w:b/>
        </w:rPr>
        <w:t xml:space="preserve">: </w:t>
      </w:r>
      <w:r w:rsidRPr="00B800F1">
        <w:rPr>
          <w:rFonts w:eastAsia="Calibri"/>
          <w:b/>
        </w:rPr>
        <w:tab/>
      </w:r>
      <w:r w:rsidRPr="00B800F1">
        <w:rPr>
          <w:rFonts w:eastAsia="Calibri"/>
        </w:rPr>
        <w:t xml:space="preserve">от </w:t>
      </w:r>
      <w:r w:rsidR="00A23136" w:rsidRPr="00B800F1">
        <w:rPr>
          <w:rFonts w:eastAsia="Calibri"/>
        </w:rPr>
        <w:t>2</w:t>
      </w:r>
      <w:r w:rsidR="001F36DE" w:rsidRPr="00B800F1">
        <w:rPr>
          <w:rFonts w:eastAsia="Calibri"/>
        </w:rPr>
        <w:t>8</w:t>
      </w:r>
      <w:r w:rsidR="009E277B" w:rsidRPr="00B800F1">
        <w:rPr>
          <w:rFonts w:eastAsia="Calibri"/>
        </w:rPr>
        <w:t>.05.2025</w:t>
      </w:r>
      <w:r w:rsidRPr="00B800F1">
        <w:rPr>
          <w:rFonts w:eastAsia="Calibri"/>
        </w:rPr>
        <w:t xml:space="preserve"> №</w:t>
      </w:r>
      <w:r w:rsidR="001D41D0" w:rsidRPr="00B800F1">
        <w:rPr>
          <w:rFonts w:eastAsia="Calibri"/>
        </w:rPr>
        <w:t xml:space="preserve"> </w:t>
      </w:r>
      <w:r w:rsidR="00A23136" w:rsidRPr="00B800F1">
        <w:rPr>
          <w:rFonts w:eastAsia="Calibri"/>
        </w:rPr>
        <w:t>0</w:t>
      </w:r>
      <w:r w:rsidR="001F36DE" w:rsidRPr="00B800F1">
        <w:rPr>
          <w:rFonts w:eastAsia="Calibri"/>
        </w:rPr>
        <w:t>1</w:t>
      </w:r>
      <w:r w:rsidR="00A23136" w:rsidRPr="00B800F1">
        <w:rPr>
          <w:rFonts w:eastAsia="Calibri"/>
        </w:rPr>
        <w:t>-</w:t>
      </w:r>
      <w:r w:rsidR="001F36DE" w:rsidRPr="00B800F1">
        <w:rPr>
          <w:rFonts w:eastAsia="Calibri"/>
        </w:rPr>
        <w:t>11536</w:t>
      </w:r>
      <w:r w:rsidR="00A23136" w:rsidRPr="00B800F1">
        <w:rPr>
          <w:rFonts w:eastAsia="Calibri"/>
        </w:rPr>
        <w:t>/25</w:t>
      </w:r>
      <w:r w:rsidR="001F36DE" w:rsidRPr="00B800F1">
        <w:rPr>
          <w:rFonts w:eastAsia="Calibri"/>
        </w:rPr>
        <w:t>О</w:t>
      </w:r>
    </w:p>
    <w:p w14:paraId="07E11EA2" w14:textId="77777777" w:rsidR="009A60C3" w:rsidRPr="00B800F1" w:rsidRDefault="009A60C3" w:rsidP="00DC42B3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</w:rPr>
      </w:pPr>
    </w:p>
    <w:p w14:paraId="7AD50289" w14:textId="27027821" w:rsidR="001F36DE" w:rsidRPr="00B800F1" w:rsidRDefault="009A60C3" w:rsidP="00DC42B3">
      <w:pPr>
        <w:tabs>
          <w:tab w:val="left" w:pos="6237"/>
        </w:tabs>
        <w:spacing w:line="235" w:lineRule="auto"/>
        <w:ind w:left="5387" w:right="-2" w:hanging="5387"/>
        <w:jc w:val="both"/>
      </w:pPr>
      <w:r w:rsidRPr="00B800F1">
        <w:rPr>
          <w:rFonts w:eastAsia="Calibri"/>
          <w:b/>
        </w:rPr>
        <w:t>Информация о заявителе:</w:t>
      </w:r>
      <w:r w:rsidRPr="00B800F1">
        <w:rPr>
          <w:rFonts w:eastAsia="Calibri"/>
        </w:rPr>
        <w:t xml:space="preserve"> </w:t>
      </w:r>
      <w:r w:rsidRPr="00B800F1">
        <w:rPr>
          <w:rFonts w:eastAsia="Calibri"/>
        </w:rPr>
        <w:tab/>
      </w:r>
      <w:r w:rsidR="00370586">
        <w:t>***</w:t>
      </w:r>
    </w:p>
    <w:p w14:paraId="3B1D3615" w14:textId="77777777" w:rsidR="009A60C3" w:rsidRPr="00B800F1" w:rsidRDefault="009A60C3" w:rsidP="00DC42B3">
      <w:pPr>
        <w:tabs>
          <w:tab w:val="left" w:pos="6237"/>
        </w:tabs>
        <w:spacing w:line="235" w:lineRule="auto"/>
        <w:ind w:right="-144"/>
        <w:jc w:val="both"/>
        <w:rPr>
          <w:rFonts w:eastAsia="Calibri"/>
        </w:rPr>
      </w:pPr>
    </w:p>
    <w:p w14:paraId="6AB09B84" w14:textId="098C8D6D" w:rsidR="00BB63D5" w:rsidRPr="00B800F1" w:rsidRDefault="009A60C3" w:rsidP="00DC42B3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B800F1">
        <w:rPr>
          <w:rFonts w:eastAsia="Calibri"/>
          <w:b/>
        </w:rPr>
        <w:t>Кадастровый номер объекта недвижимости:</w:t>
      </w:r>
      <w:r w:rsidRPr="00B800F1">
        <w:rPr>
          <w:rFonts w:eastAsia="Calibri"/>
          <w:b/>
        </w:rPr>
        <w:tab/>
      </w:r>
      <w:r w:rsidR="000E26C4" w:rsidRPr="00B800F1">
        <w:rPr>
          <w:rFonts w:eastAsia="Calibri"/>
          <w:b/>
        </w:rPr>
        <w:tab/>
      </w:r>
      <w:r w:rsidR="001F36DE" w:rsidRPr="00B800F1">
        <w:rPr>
          <w:rFonts w:eastAsia="Calibri"/>
        </w:rPr>
        <w:t>77:08:0008004:3</w:t>
      </w:r>
    </w:p>
    <w:p w14:paraId="144B19A2" w14:textId="307E02F7" w:rsidR="009A60C3" w:rsidRPr="00B800F1" w:rsidRDefault="009A60C3" w:rsidP="00DC42B3">
      <w:pPr>
        <w:spacing w:line="235" w:lineRule="auto"/>
        <w:ind w:left="5387" w:hanging="5387"/>
        <w:jc w:val="both"/>
        <w:rPr>
          <w:rFonts w:eastAsia="Calibri"/>
        </w:rPr>
      </w:pPr>
      <w:r w:rsidRPr="00B800F1">
        <w:rPr>
          <w:rFonts w:eastAsia="Calibri"/>
          <w:b/>
        </w:rPr>
        <w:t>Адрес:</w:t>
      </w:r>
      <w:r w:rsidRPr="00B800F1">
        <w:rPr>
          <w:rFonts w:eastAsia="Calibri"/>
        </w:rPr>
        <w:tab/>
      </w:r>
      <w:r w:rsidR="00BB63D5" w:rsidRPr="00B800F1">
        <w:rPr>
          <w:rFonts w:eastAsia="Calibri"/>
        </w:rPr>
        <w:t>г. Москва</w:t>
      </w:r>
      <w:r w:rsidR="00AD6154" w:rsidRPr="00B800F1">
        <w:rPr>
          <w:rFonts w:eastAsia="Calibri"/>
        </w:rPr>
        <w:t>, ул. Кулакова, вл. 14</w:t>
      </w:r>
    </w:p>
    <w:p w14:paraId="202306F0" w14:textId="77777777" w:rsidR="009A60C3" w:rsidRPr="00B800F1" w:rsidRDefault="009A60C3" w:rsidP="00DC42B3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</w:rPr>
      </w:pPr>
    </w:p>
    <w:p w14:paraId="7ACDE9AB" w14:textId="77777777" w:rsidR="009A60C3" w:rsidRPr="00B800F1" w:rsidRDefault="009A60C3" w:rsidP="00DC42B3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rFonts w:eastAsia="Calibri"/>
          <w:b/>
        </w:rPr>
      </w:pPr>
      <w:r w:rsidRPr="00B800F1">
        <w:rPr>
          <w:rFonts w:eastAsia="Calibri"/>
          <w:b/>
        </w:rPr>
        <w:t>Информация о проведенной проверке:</w:t>
      </w:r>
    </w:p>
    <w:p w14:paraId="488A4613" w14:textId="77777777" w:rsidR="006A6490" w:rsidRPr="00B800F1" w:rsidRDefault="006A6490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>Государственная кадастровая оценка в городе Москве в 2022 году проведена</w:t>
      </w:r>
      <w:r w:rsidRPr="00B800F1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П/0336.</w:t>
      </w:r>
    </w:p>
    <w:p w14:paraId="19AC17F5" w14:textId="6CAD95B9" w:rsidR="000C0831" w:rsidRPr="00B800F1" w:rsidRDefault="000C0831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>В соответствии с положениями статьи 13 Закона о ГКО на основании решения</w:t>
      </w:r>
      <w:r w:rsidR="00A63994">
        <w:rPr>
          <w:rFonts w:eastAsia="Calibri"/>
        </w:rPr>
        <w:t xml:space="preserve"> </w:t>
      </w:r>
      <w:r w:rsidR="00B7361E" w:rsidRPr="00D60DA9">
        <w:rPr>
          <w:rFonts w:eastAsia="Calibri"/>
        </w:rPr>
        <w:br/>
      </w:r>
      <w:r w:rsidR="00A63994">
        <w:rPr>
          <w:rFonts w:eastAsia="Calibri"/>
        </w:rPr>
        <w:t>о</w:t>
      </w:r>
      <w:r w:rsidRPr="00B800F1">
        <w:rPr>
          <w:rFonts w:eastAsia="Calibri"/>
        </w:rPr>
        <w:t xml:space="preserve"> проведении государственной кадастровой оценки филиалом публично-правовой компанией «</w:t>
      </w:r>
      <w:proofErr w:type="spellStart"/>
      <w:r w:rsidRPr="00B800F1">
        <w:rPr>
          <w:rFonts w:eastAsia="Calibri"/>
        </w:rPr>
        <w:t>Роскадастр</w:t>
      </w:r>
      <w:proofErr w:type="spellEnd"/>
      <w:r w:rsidRPr="00B800F1">
        <w:rPr>
          <w:rFonts w:eastAsia="Calibri"/>
        </w:rPr>
        <w:t>» по Москве формировался перечень объектов недвижимости, подлежащих государственной кадастровой оценке (далее – Перечень).</w:t>
      </w:r>
    </w:p>
    <w:p w14:paraId="7A1FE279" w14:textId="6385C51F" w:rsidR="000C0831" w:rsidRPr="00B800F1" w:rsidRDefault="000C0831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>В Перечень включались сведения Единого государственного реестра недвижимости, актуальные по состоянию на 01.01.202</w:t>
      </w:r>
      <w:r w:rsidR="00C439E3" w:rsidRPr="00B800F1">
        <w:rPr>
          <w:rFonts w:eastAsia="Calibri"/>
        </w:rPr>
        <w:t>2</w:t>
      </w:r>
      <w:r w:rsidRPr="00B800F1">
        <w:rPr>
          <w:rFonts w:eastAsia="Calibri"/>
        </w:rPr>
        <w:t>.</w:t>
      </w:r>
    </w:p>
    <w:p w14:paraId="0ED13252" w14:textId="502F9B8F" w:rsidR="006F09F2" w:rsidRPr="00B800F1" w:rsidRDefault="000C0831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 xml:space="preserve">Кадастровая стоимость </w:t>
      </w:r>
      <w:r w:rsidR="00C439E3" w:rsidRPr="00B800F1">
        <w:rPr>
          <w:rFonts w:eastAsia="Calibri"/>
        </w:rPr>
        <w:t>земельного участка</w:t>
      </w:r>
      <w:r w:rsidRPr="00B800F1">
        <w:rPr>
          <w:rFonts w:eastAsia="Calibri"/>
        </w:rPr>
        <w:t xml:space="preserve"> с кадастровым номером </w:t>
      </w:r>
      <w:r w:rsidR="00C439E3" w:rsidRPr="00B800F1">
        <w:rPr>
          <w:rFonts w:eastAsia="Calibri"/>
        </w:rPr>
        <w:t>77:08:0008004:3</w:t>
      </w:r>
      <w:r w:rsidRPr="00B800F1">
        <w:rPr>
          <w:rFonts w:eastAsia="Calibri"/>
        </w:rPr>
        <w:t xml:space="preserve"> (далее – </w:t>
      </w:r>
      <w:r w:rsidR="00A12C6E" w:rsidRPr="00B800F1">
        <w:rPr>
          <w:rFonts w:eastAsia="Calibri"/>
        </w:rPr>
        <w:t>Земельный участок</w:t>
      </w:r>
      <w:r w:rsidRPr="00B800F1">
        <w:rPr>
          <w:rFonts w:eastAsia="Calibri"/>
        </w:rPr>
        <w:t xml:space="preserve">) в размере </w:t>
      </w:r>
      <w:r w:rsidR="00C439E3" w:rsidRPr="00B800F1">
        <w:rPr>
          <w:rFonts w:eastAsia="Calibri"/>
        </w:rPr>
        <w:t>134 068 602,72</w:t>
      </w:r>
      <w:r w:rsidR="00B800F1" w:rsidRPr="00B800F1">
        <w:rPr>
          <w:rFonts w:eastAsia="Calibri"/>
        </w:rPr>
        <w:t xml:space="preserve"> руб.</w:t>
      </w:r>
      <w:r w:rsidRPr="00B800F1">
        <w:rPr>
          <w:rFonts w:eastAsia="Calibri"/>
        </w:rPr>
        <w:t xml:space="preserve"> определена на основании сведений, включенных в Перечень, с учетом отнесения его</w:t>
      </w:r>
      <w:r w:rsidR="00C439E3" w:rsidRPr="00B800F1">
        <w:rPr>
          <w:rFonts w:eastAsia="Calibri"/>
        </w:rPr>
        <w:t xml:space="preserve"> </w:t>
      </w:r>
      <w:r w:rsidRPr="00B800F1">
        <w:rPr>
          <w:rFonts w:eastAsia="Calibri"/>
        </w:rPr>
        <w:t xml:space="preserve">к группе 4 </w:t>
      </w:r>
      <w:r w:rsidR="00A12C6E" w:rsidRPr="00B800F1">
        <w:rPr>
          <w:rFonts w:eastAsia="Calibri"/>
        </w:rPr>
        <w:t>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14:paraId="2F027966" w14:textId="7995385D" w:rsidR="00A12C6E" w:rsidRPr="00B800F1" w:rsidRDefault="00A12C6E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>Ошибки в определении расстояни</w:t>
      </w:r>
      <w:r w:rsidR="006F09F2" w:rsidRPr="00B800F1">
        <w:rPr>
          <w:rFonts w:eastAsia="Calibri"/>
        </w:rPr>
        <w:t>я</w:t>
      </w:r>
      <w:r w:rsidRPr="00B800F1">
        <w:rPr>
          <w:rFonts w:eastAsia="Calibri"/>
        </w:rPr>
        <w:t xml:space="preserve"> до ближайшей станции метро не выявлено. Расстояние рассчитывается от объекта недвижимости до ближайшей точки каждого объекта ценообразующего фактора. Выбирается минимальное из расстояний, что и является значением ценообразующего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</w:t>
      </w:r>
      <w:r w:rsidR="00FB7B1F" w:rsidRPr="00B800F1">
        <w:rPr>
          <w:rFonts w:eastAsia="Calibri"/>
        </w:rPr>
        <w:br/>
      </w:r>
      <w:r w:rsidRPr="00B800F1">
        <w:rPr>
          <w:rFonts w:eastAsia="Calibri"/>
        </w:rPr>
        <w:t>в расчетах, также определяются по прямой.</w:t>
      </w:r>
    </w:p>
    <w:p w14:paraId="064344D3" w14:textId="2D1B0052" w:rsidR="00435521" w:rsidRPr="00B800F1" w:rsidRDefault="00FB7B1F" w:rsidP="00DC42B3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B800F1">
        <w:rPr>
          <w:rFonts w:eastAsia="Calibri"/>
        </w:rPr>
        <w:t>В ходе рассмотрения заявления выявлена ошибка, допущенная при определении кадастровой стоимости. На основании сведений, предоставленных Государственной инспекцией по контролю за использованием объектов недвижимости, подтвержденных сведениями, содержащимися в Едином государственном реестре недвижимости,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0.8463.</w:t>
      </w:r>
    </w:p>
    <w:p w14:paraId="5DB3FA23" w14:textId="77777777" w:rsidR="006A6490" w:rsidRPr="00B800F1" w:rsidRDefault="006A6490" w:rsidP="00DC42B3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rFonts w:eastAsia="Calibri"/>
        </w:rPr>
      </w:pPr>
    </w:p>
    <w:p w14:paraId="5C90065A" w14:textId="77777777" w:rsidR="009A60C3" w:rsidRPr="00B800F1" w:rsidRDefault="009A60C3" w:rsidP="00DC42B3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rFonts w:eastAsia="Calibri"/>
          <w:b/>
        </w:rPr>
      </w:pPr>
      <w:r w:rsidRPr="00B800F1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14:paraId="58FC01CD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0"/>
        <w:gridCol w:w="1744"/>
        <w:gridCol w:w="3018"/>
        <w:gridCol w:w="1591"/>
        <w:gridCol w:w="1590"/>
      </w:tblGrid>
      <w:tr w:rsidR="009A60C3" w:rsidRPr="009A60C3" w14:paraId="1E741EBA" w14:textId="77777777" w:rsidTr="00D60DA9">
        <w:trPr>
          <w:trHeight w:val="1518"/>
          <w:jc w:val="center"/>
        </w:trPr>
        <w:tc>
          <w:tcPr>
            <w:tcW w:w="2160" w:type="dxa"/>
            <w:vAlign w:val="center"/>
          </w:tcPr>
          <w:p w14:paraId="56DDFB99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14:paraId="1D0A0C87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258F58C2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14:paraId="074CC96C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27D7D787" w14:textId="77777777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14:paraId="6AED7205" w14:textId="77777777" w:rsidTr="00D60DA9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063" w14:textId="7AC451A8" w:rsidR="00FF0A45" w:rsidRPr="009A60C3" w:rsidRDefault="008429A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9A8">
              <w:rPr>
                <w:rFonts w:ascii="Times New Roman" w:hAnsi="Times New Roman"/>
                <w:sz w:val="22"/>
                <w:szCs w:val="22"/>
              </w:rPr>
              <w:t>77:08:0008004:3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65C" w14:textId="362B0491" w:rsidR="00FF0A45" w:rsidRPr="009A60C3" w:rsidRDefault="008429A8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9A8">
              <w:rPr>
                <w:rFonts w:ascii="Times New Roman" w:hAnsi="Times New Roman"/>
                <w:sz w:val="22"/>
                <w:szCs w:val="22"/>
              </w:rPr>
              <w:t>134 068 602,72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FC94" w14:textId="40179E52" w:rsidR="00FF0A45" w:rsidRPr="00B77D11" w:rsidRDefault="001851DB" w:rsidP="00D24C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A06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61A06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6BD2ACB4" w14:textId="04034C35" w:rsidR="00FF0A45" w:rsidRPr="009A60C3" w:rsidRDefault="00B800F1" w:rsidP="00B800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0F1">
              <w:rPr>
                <w:rFonts w:ascii="Times New Roman" w:hAnsi="Times New Roman"/>
                <w:sz w:val="22"/>
                <w:szCs w:val="22"/>
              </w:rPr>
              <w:t>113 462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800F1">
              <w:rPr>
                <w:rFonts w:ascii="Times New Roman" w:hAnsi="Times New Roman"/>
                <w:sz w:val="22"/>
                <w:szCs w:val="22"/>
              </w:rPr>
              <w:t>288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800F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14:paraId="0C3867A9" w14:textId="77777777" w:rsidR="00FF0A45" w:rsidRPr="009A60C3" w:rsidRDefault="00FF0A45" w:rsidP="00D24C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24C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323C096D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E7FB" w14:textId="77777777" w:rsidR="00BC3710" w:rsidRDefault="00BC3710" w:rsidP="00E81003">
      <w:r>
        <w:separator/>
      </w:r>
    </w:p>
  </w:endnote>
  <w:endnote w:type="continuationSeparator" w:id="0">
    <w:p w14:paraId="3DE1283E" w14:textId="77777777" w:rsidR="00BC3710" w:rsidRDefault="00BC3710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7DB1" w14:textId="77777777" w:rsidR="00BC3710" w:rsidRDefault="00BC3710" w:rsidP="00E81003">
      <w:r>
        <w:separator/>
      </w:r>
    </w:p>
  </w:footnote>
  <w:footnote w:type="continuationSeparator" w:id="0">
    <w:p w14:paraId="200779D4" w14:textId="77777777" w:rsidR="00BC3710" w:rsidRDefault="00BC3710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CB4D" w14:textId="7AB17270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861B5"/>
    <w:rsid w:val="000A1409"/>
    <w:rsid w:val="000C0831"/>
    <w:rsid w:val="000D5F73"/>
    <w:rsid w:val="000E26C4"/>
    <w:rsid w:val="000E3CE9"/>
    <w:rsid w:val="000F4294"/>
    <w:rsid w:val="00141094"/>
    <w:rsid w:val="00141A9F"/>
    <w:rsid w:val="001575F4"/>
    <w:rsid w:val="001851DB"/>
    <w:rsid w:val="001919BA"/>
    <w:rsid w:val="00195581"/>
    <w:rsid w:val="001966DF"/>
    <w:rsid w:val="001A08AB"/>
    <w:rsid w:val="001C2469"/>
    <w:rsid w:val="001C3F29"/>
    <w:rsid w:val="001D41D0"/>
    <w:rsid w:val="001F36DE"/>
    <w:rsid w:val="001F4D73"/>
    <w:rsid w:val="00205F67"/>
    <w:rsid w:val="0021463F"/>
    <w:rsid w:val="0022361D"/>
    <w:rsid w:val="00227E18"/>
    <w:rsid w:val="002322AB"/>
    <w:rsid w:val="00245931"/>
    <w:rsid w:val="002504FF"/>
    <w:rsid w:val="0026279A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65436"/>
    <w:rsid w:val="00370586"/>
    <w:rsid w:val="0039157A"/>
    <w:rsid w:val="003966E4"/>
    <w:rsid w:val="00396BFF"/>
    <w:rsid w:val="003A4AC9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360B"/>
    <w:rsid w:val="00664082"/>
    <w:rsid w:val="006703A5"/>
    <w:rsid w:val="00675F2B"/>
    <w:rsid w:val="00683313"/>
    <w:rsid w:val="00690400"/>
    <w:rsid w:val="006A2C47"/>
    <w:rsid w:val="006A5A03"/>
    <w:rsid w:val="006A6490"/>
    <w:rsid w:val="006B0857"/>
    <w:rsid w:val="006B6D51"/>
    <w:rsid w:val="006C62D7"/>
    <w:rsid w:val="006D0CF7"/>
    <w:rsid w:val="006D3952"/>
    <w:rsid w:val="006D44EB"/>
    <w:rsid w:val="006F09F2"/>
    <w:rsid w:val="006F6F73"/>
    <w:rsid w:val="00723612"/>
    <w:rsid w:val="00730266"/>
    <w:rsid w:val="007320E5"/>
    <w:rsid w:val="00732E70"/>
    <w:rsid w:val="007619A1"/>
    <w:rsid w:val="00766079"/>
    <w:rsid w:val="007773BB"/>
    <w:rsid w:val="00782187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429A8"/>
    <w:rsid w:val="00862614"/>
    <w:rsid w:val="008670AF"/>
    <w:rsid w:val="0088100F"/>
    <w:rsid w:val="00881D2E"/>
    <w:rsid w:val="00884899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7C5F"/>
    <w:rsid w:val="00960CF2"/>
    <w:rsid w:val="00985D91"/>
    <w:rsid w:val="009A292E"/>
    <w:rsid w:val="009A4D0B"/>
    <w:rsid w:val="009A60C3"/>
    <w:rsid w:val="009B0F11"/>
    <w:rsid w:val="009D275F"/>
    <w:rsid w:val="009E277B"/>
    <w:rsid w:val="009E6391"/>
    <w:rsid w:val="009F7E0E"/>
    <w:rsid w:val="00A0619E"/>
    <w:rsid w:val="00A06E67"/>
    <w:rsid w:val="00A12C6E"/>
    <w:rsid w:val="00A23136"/>
    <w:rsid w:val="00A23693"/>
    <w:rsid w:val="00A25EBF"/>
    <w:rsid w:val="00A42091"/>
    <w:rsid w:val="00A42AC7"/>
    <w:rsid w:val="00A473E1"/>
    <w:rsid w:val="00A51FFE"/>
    <w:rsid w:val="00A616C1"/>
    <w:rsid w:val="00A63994"/>
    <w:rsid w:val="00A82707"/>
    <w:rsid w:val="00AC0472"/>
    <w:rsid w:val="00AC7DFC"/>
    <w:rsid w:val="00AD212A"/>
    <w:rsid w:val="00AD6154"/>
    <w:rsid w:val="00AD65B7"/>
    <w:rsid w:val="00AE4372"/>
    <w:rsid w:val="00B006E1"/>
    <w:rsid w:val="00B04546"/>
    <w:rsid w:val="00B0596E"/>
    <w:rsid w:val="00B141E4"/>
    <w:rsid w:val="00B157B0"/>
    <w:rsid w:val="00B200BA"/>
    <w:rsid w:val="00B25FFF"/>
    <w:rsid w:val="00B478D2"/>
    <w:rsid w:val="00B54D2E"/>
    <w:rsid w:val="00B6460D"/>
    <w:rsid w:val="00B7361E"/>
    <w:rsid w:val="00B751DE"/>
    <w:rsid w:val="00B77D11"/>
    <w:rsid w:val="00B800F1"/>
    <w:rsid w:val="00B9374F"/>
    <w:rsid w:val="00BA0ED3"/>
    <w:rsid w:val="00BB60D6"/>
    <w:rsid w:val="00BB63D5"/>
    <w:rsid w:val="00BB76B9"/>
    <w:rsid w:val="00BC3498"/>
    <w:rsid w:val="00BC3710"/>
    <w:rsid w:val="00BC69B4"/>
    <w:rsid w:val="00BF1762"/>
    <w:rsid w:val="00C10395"/>
    <w:rsid w:val="00C147BA"/>
    <w:rsid w:val="00C1778C"/>
    <w:rsid w:val="00C42872"/>
    <w:rsid w:val="00C439E3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D7ECB"/>
    <w:rsid w:val="00CE1FE3"/>
    <w:rsid w:val="00CF049C"/>
    <w:rsid w:val="00D02A10"/>
    <w:rsid w:val="00D0326A"/>
    <w:rsid w:val="00D03CFE"/>
    <w:rsid w:val="00D24CCC"/>
    <w:rsid w:val="00D50FD4"/>
    <w:rsid w:val="00D60DA9"/>
    <w:rsid w:val="00D634F5"/>
    <w:rsid w:val="00D77012"/>
    <w:rsid w:val="00D97B61"/>
    <w:rsid w:val="00DB1B1E"/>
    <w:rsid w:val="00DC42B3"/>
    <w:rsid w:val="00DD029D"/>
    <w:rsid w:val="00DD1C87"/>
    <w:rsid w:val="00DD45E9"/>
    <w:rsid w:val="00DD7BB2"/>
    <w:rsid w:val="00E105C0"/>
    <w:rsid w:val="00E46A9A"/>
    <w:rsid w:val="00E47E1A"/>
    <w:rsid w:val="00E55D7A"/>
    <w:rsid w:val="00E5705B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E3A4E"/>
    <w:rsid w:val="00EF329E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76621"/>
    <w:rsid w:val="00FB7B1F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93185"/>
    </o:shapedefaults>
    <o:shapelayout v:ext="edit">
      <o:idmap v:ext="edit" data="2"/>
    </o:shapelayout>
  </w:shapeDefaults>
  <w:decimalSymbol w:val="."/>
  <w:listSeparator w:val=";"/>
  <w14:docId w14:val="1BD1AF7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D68F-7FBF-4B58-B666-C70CC11E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3051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2025-06-16T07:55:00Z</dcterms:created>
  <dcterms:modified xsi:type="dcterms:W3CDTF">2025-06-20T06:42:00Z</dcterms:modified>
</cp:coreProperties>
</file>