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AE73E7" w:rsidRDefault="00AE73E7" w:rsidP="003A4C25">
      <w:pPr>
        <w:spacing w:line="223" w:lineRule="auto"/>
        <w:ind w:left="284"/>
        <w:jc w:val="center"/>
        <w:rPr>
          <w:b/>
        </w:rPr>
      </w:pPr>
    </w:p>
    <w:p w:rsidR="006570FA" w:rsidRPr="00563833" w:rsidRDefault="006570FA" w:rsidP="003A4C25">
      <w:pPr>
        <w:spacing w:line="223" w:lineRule="auto"/>
        <w:ind w:left="284"/>
        <w:jc w:val="center"/>
        <w:rPr>
          <w:b/>
        </w:rPr>
      </w:pPr>
      <w:bookmarkStart w:id="0" w:name="_GoBack"/>
      <w:bookmarkEnd w:id="0"/>
      <w:r w:rsidRPr="00563833">
        <w:rPr>
          <w:b/>
        </w:rPr>
        <w:t>РЕШЕНИЕ</w:t>
      </w:r>
    </w:p>
    <w:p w:rsidR="00070523" w:rsidRPr="00563833" w:rsidRDefault="002835F7" w:rsidP="003A4C25">
      <w:pPr>
        <w:spacing w:line="223" w:lineRule="auto"/>
        <w:ind w:left="284"/>
        <w:jc w:val="center"/>
        <w:rPr>
          <w:b/>
        </w:rPr>
      </w:pPr>
      <w:r w:rsidRPr="00563833">
        <w:rPr>
          <w:b/>
        </w:rPr>
        <w:t>об отказе в пересчете кадастровой стоимости</w:t>
      </w:r>
    </w:p>
    <w:p w:rsidR="006570FA" w:rsidRPr="00F46BAE" w:rsidRDefault="00563833" w:rsidP="003A4C25">
      <w:pPr>
        <w:spacing w:line="223" w:lineRule="auto"/>
        <w:contextualSpacing/>
        <w:jc w:val="center"/>
        <w:rPr>
          <w:b/>
        </w:rPr>
      </w:pPr>
      <w:r w:rsidRPr="00F46BAE">
        <w:rPr>
          <w:b/>
        </w:rPr>
        <w:t xml:space="preserve"> </w:t>
      </w:r>
    </w:p>
    <w:p w:rsidR="006570FA" w:rsidRPr="00563833" w:rsidRDefault="006570FA" w:rsidP="003A4C25">
      <w:pPr>
        <w:spacing w:line="223" w:lineRule="auto"/>
        <w:ind w:right="-2"/>
        <w:rPr>
          <w:b/>
        </w:rPr>
      </w:pPr>
      <w:r w:rsidRPr="00563833">
        <w:rPr>
          <w:b/>
        </w:rPr>
        <w:t>«</w:t>
      </w:r>
      <w:r w:rsidR="00563833" w:rsidRPr="00300D3F">
        <w:rPr>
          <w:b/>
        </w:rPr>
        <w:t>2</w:t>
      </w:r>
      <w:r w:rsidR="00300D3F">
        <w:rPr>
          <w:b/>
        </w:rPr>
        <w:t>2</w:t>
      </w:r>
      <w:r w:rsidRPr="00563833">
        <w:rPr>
          <w:b/>
        </w:rPr>
        <w:t xml:space="preserve">» </w:t>
      </w:r>
      <w:r w:rsidR="006A1A0B" w:rsidRPr="00563833">
        <w:rPr>
          <w:b/>
        </w:rPr>
        <w:t>ноября</w:t>
      </w:r>
      <w:r w:rsidRPr="00563833">
        <w:rPr>
          <w:b/>
        </w:rPr>
        <w:t xml:space="preserve"> 202</w:t>
      </w:r>
      <w:r w:rsidR="00CC4FAC" w:rsidRPr="00563833">
        <w:rPr>
          <w:b/>
        </w:rPr>
        <w:t>4</w:t>
      </w:r>
      <w:r w:rsidRPr="00563833">
        <w:rPr>
          <w:b/>
        </w:rPr>
        <w:t xml:space="preserve"> г.</w:t>
      </w:r>
      <w:r w:rsidRPr="00563833">
        <w:rPr>
          <w:b/>
        </w:rPr>
        <w:tab/>
        <w:t xml:space="preserve">            </w:t>
      </w:r>
      <w:r w:rsidR="00CC4FAC" w:rsidRPr="00563833">
        <w:rPr>
          <w:b/>
        </w:rPr>
        <w:t xml:space="preserve">       </w:t>
      </w:r>
      <w:r w:rsidRPr="00563833">
        <w:rPr>
          <w:b/>
        </w:rPr>
        <w:t xml:space="preserve">                           </w:t>
      </w:r>
      <w:r w:rsidR="00A21694" w:rsidRPr="00563833">
        <w:rPr>
          <w:b/>
        </w:rPr>
        <w:t xml:space="preserve">                     </w:t>
      </w:r>
      <w:r w:rsidRPr="00563833">
        <w:rPr>
          <w:b/>
        </w:rPr>
        <w:t xml:space="preserve">           </w:t>
      </w:r>
      <w:r w:rsidR="00A21694" w:rsidRPr="00563833">
        <w:rPr>
          <w:b/>
        </w:rPr>
        <w:t xml:space="preserve">  </w:t>
      </w:r>
      <w:r w:rsidR="003412C3" w:rsidRPr="00563833">
        <w:rPr>
          <w:b/>
        </w:rPr>
        <w:t xml:space="preserve">   </w:t>
      </w:r>
      <w:r w:rsidR="009D64DC" w:rsidRPr="00563833">
        <w:rPr>
          <w:b/>
        </w:rPr>
        <w:t xml:space="preserve">      </w:t>
      </w:r>
      <w:r w:rsidRPr="00563833">
        <w:rPr>
          <w:b/>
        </w:rPr>
        <w:t xml:space="preserve"> </w:t>
      </w:r>
      <w:r w:rsidR="006766C7" w:rsidRPr="00563833">
        <w:rPr>
          <w:b/>
        </w:rPr>
        <w:t xml:space="preserve">  </w:t>
      </w:r>
      <w:r w:rsidR="00F00665" w:rsidRPr="00563833">
        <w:rPr>
          <w:b/>
        </w:rPr>
        <w:t xml:space="preserve">   </w:t>
      </w:r>
      <w:r w:rsidR="00563833" w:rsidRPr="00300D3F">
        <w:rPr>
          <w:b/>
        </w:rPr>
        <w:t xml:space="preserve">                </w:t>
      </w:r>
      <w:r w:rsidR="00F00665" w:rsidRPr="00563833">
        <w:rPr>
          <w:b/>
        </w:rPr>
        <w:t xml:space="preserve">  </w:t>
      </w:r>
      <w:r w:rsidRPr="00563833">
        <w:rPr>
          <w:b/>
        </w:rPr>
        <w:t xml:space="preserve">№ </w:t>
      </w:r>
      <w:r w:rsidR="00F46BAE">
        <w:rPr>
          <w:b/>
        </w:rPr>
        <w:t>707</w:t>
      </w:r>
      <w:r w:rsidRPr="00563833">
        <w:rPr>
          <w:b/>
        </w:rPr>
        <w:t>/2</w:t>
      </w:r>
      <w:r w:rsidR="00CC4FAC" w:rsidRPr="00563833">
        <w:rPr>
          <w:b/>
        </w:rPr>
        <w:t>4</w:t>
      </w:r>
    </w:p>
    <w:p w:rsidR="006570FA" w:rsidRPr="00563833" w:rsidRDefault="006570FA" w:rsidP="003A4C25">
      <w:pPr>
        <w:spacing w:line="223" w:lineRule="auto"/>
        <w:ind w:right="-2"/>
        <w:jc w:val="both"/>
      </w:pPr>
    </w:p>
    <w:p w:rsidR="00D52B2E" w:rsidRPr="00563833" w:rsidRDefault="00D52B2E" w:rsidP="00E14C9C">
      <w:pPr>
        <w:tabs>
          <w:tab w:val="left" w:pos="5245"/>
          <w:tab w:val="left" w:pos="5670"/>
        </w:tabs>
        <w:spacing w:line="223" w:lineRule="auto"/>
        <w:ind w:left="6804" w:right="-2" w:hanging="6804"/>
        <w:jc w:val="both"/>
      </w:pPr>
      <w:r w:rsidRPr="00563833">
        <w:rPr>
          <w:b/>
        </w:rPr>
        <w:t>Реквизиты заявлени</w:t>
      </w:r>
      <w:r w:rsidR="006D15A3" w:rsidRPr="00563833">
        <w:rPr>
          <w:b/>
        </w:rPr>
        <w:t>я</w:t>
      </w:r>
      <w:r w:rsidRPr="00563833">
        <w:rPr>
          <w:b/>
        </w:rPr>
        <w:t>:</w:t>
      </w:r>
      <w:r w:rsidRPr="00563833">
        <w:tab/>
      </w:r>
      <w:r w:rsidR="000818A1" w:rsidRPr="00563833">
        <w:t xml:space="preserve">от </w:t>
      </w:r>
      <w:r w:rsidR="006A1A0B" w:rsidRPr="00563833">
        <w:t>30.10.2024</w:t>
      </w:r>
      <w:r w:rsidR="00752824" w:rsidRPr="00563833">
        <w:t xml:space="preserve"> </w:t>
      </w:r>
      <w:r w:rsidR="007118AC" w:rsidRPr="00563833">
        <w:t>№</w:t>
      </w:r>
      <w:r w:rsidR="002835F7" w:rsidRPr="00563833">
        <w:t xml:space="preserve"> </w:t>
      </w:r>
      <w:r w:rsidR="006A1A0B" w:rsidRPr="00563833">
        <w:t>01-20601/24</w:t>
      </w:r>
    </w:p>
    <w:p w:rsidR="00D52B2E" w:rsidRPr="00563833" w:rsidRDefault="00D52B2E" w:rsidP="003A4C25">
      <w:pPr>
        <w:tabs>
          <w:tab w:val="left" w:pos="5670"/>
          <w:tab w:val="left" w:pos="5812"/>
        </w:tabs>
        <w:spacing w:line="223" w:lineRule="auto"/>
        <w:ind w:left="6804" w:right="-2" w:hanging="1134"/>
        <w:jc w:val="both"/>
      </w:pPr>
    </w:p>
    <w:p w:rsidR="007F6FDD" w:rsidRPr="00563833" w:rsidRDefault="00D52B2E" w:rsidP="006A1A0B">
      <w:pPr>
        <w:tabs>
          <w:tab w:val="left" w:pos="5245"/>
        </w:tabs>
        <w:spacing w:line="223" w:lineRule="auto"/>
        <w:ind w:left="5245" w:right="-2" w:hanging="5245"/>
      </w:pPr>
      <w:r w:rsidRPr="00563833">
        <w:rPr>
          <w:b/>
        </w:rPr>
        <w:t xml:space="preserve">Информация о заявителе: </w:t>
      </w:r>
      <w:r w:rsidRPr="00563833">
        <w:rPr>
          <w:b/>
        </w:rPr>
        <w:tab/>
      </w:r>
      <w:r w:rsidR="00AE73E7">
        <w:t>***</w:t>
      </w:r>
    </w:p>
    <w:p w:rsidR="00D52B2E" w:rsidRPr="00563833" w:rsidRDefault="00D52B2E" w:rsidP="003A4C25">
      <w:pPr>
        <w:tabs>
          <w:tab w:val="left" w:pos="6237"/>
        </w:tabs>
        <w:spacing w:line="223" w:lineRule="auto"/>
        <w:ind w:left="6804" w:right="-2" w:hanging="6804"/>
        <w:jc w:val="both"/>
      </w:pPr>
    </w:p>
    <w:p w:rsidR="007F6FDD" w:rsidRPr="00563833" w:rsidRDefault="007F6FDD" w:rsidP="00E14C9C">
      <w:pPr>
        <w:spacing w:line="223" w:lineRule="auto"/>
        <w:ind w:left="5245" w:right="-2" w:hanging="5245"/>
        <w:jc w:val="both"/>
      </w:pPr>
      <w:r w:rsidRPr="00563833">
        <w:rPr>
          <w:b/>
        </w:rPr>
        <w:t>Кадастровый номер объекта недвижимости:</w:t>
      </w:r>
      <w:r w:rsidRPr="00563833">
        <w:rPr>
          <w:b/>
        </w:rPr>
        <w:tab/>
      </w:r>
      <w:r w:rsidR="006A1A0B" w:rsidRPr="00563833">
        <w:t>77:02:0016003:1</w:t>
      </w:r>
    </w:p>
    <w:p w:rsidR="0019732D" w:rsidRPr="00563833" w:rsidRDefault="007F6FDD" w:rsidP="00E14C9C">
      <w:pPr>
        <w:tabs>
          <w:tab w:val="left" w:pos="5670"/>
        </w:tabs>
        <w:spacing w:line="223" w:lineRule="auto"/>
        <w:ind w:left="5245" w:right="-2" w:hanging="5245"/>
        <w:jc w:val="both"/>
      </w:pPr>
      <w:r w:rsidRPr="00563833">
        <w:rPr>
          <w:b/>
        </w:rPr>
        <w:t xml:space="preserve">Адрес: </w:t>
      </w:r>
      <w:r w:rsidRPr="00563833">
        <w:rPr>
          <w:b/>
        </w:rPr>
        <w:tab/>
      </w:r>
      <w:r w:rsidR="00752824" w:rsidRPr="00563833">
        <w:t xml:space="preserve">г. Москва, </w:t>
      </w:r>
      <w:proofErr w:type="spellStart"/>
      <w:r w:rsidR="006A1A0B" w:rsidRPr="00563833">
        <w:t>вн</w:t>
      </w:r>
      <w:proofErr w:type="spellEnd"/>
      <w:r w:rsidR="006A1A0B" w:rsidRPr="00563833">
        <w:t xml:space="preserve">. тер. г. муниципальный округ Ярославский, ш. Ярославское, з/у 26/12 </w:t>
      </w:r>
      <w:r w:rsidR="00752824" w:rsidRPr="00563833">
        <w:cr/>
      </w:r>
    </w:p>
    <w:p w:rsidR="006570FA" w:rsidRPr="00563833" w:rsidRDefault="006570FA" w:rsidP="003A4C25">
      <w:pPr>
        <w:tabs>
          <w:tab w:val="left" w:pos="5103"/>
          <w:tab w:val="left" w:pos="5812"/>
        </w:tabs>
        <w:spacing w:line="223" w:lineRule="auto"/>
        <w:jc w:val="both"/>
        <w:rPr>
          <w:b/>
        </w:rPr>
      </w:pPr>
      <w:r w:rsidRPr="00563833">
        <w:rPr>
          <w:b/>
        </w:rPr>
        <w:t>Информация о проведенной проверке:</w:t>
      </w:r>
    </w:p>
    <w:p w:rsidR="009D64DC" w:rsidRPr="00563833" w:rsidRDefault="009D64DC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</w:p>
    <w:p w:rsidR="003418C2" w:rsidRPr="00563833" w:rsidRDefault="003418C2" w:rsidP="00563833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Государственная кадастровая оценка в городе Москве в 2022 году проведена</w:t>
      </w:r>
      <w:r w:rsidR="00D51818" w:rsidRPr="00563833">
        <w:t xml:space="preserve"> </w:t>
      </w:r>
      <w:r w:rsidR="00D51818" w:rsidRPr="00563833">
        <w:br/>
      </w:r>
      <w:r w:rsidRPr="00563833">
        <w:t>в соответствии с Федеральным законом от 03.07.2016 № 237-ФЗ «О государственной кадастровой оценке»</w:t>
      </w:r>
      <w:r w:rsidR="007045DD" w:rsidRPr="00563833">
        <w:t xml:space="preserve"> (далее – Закон о ГКО)</w:t>
      </w:r>
      <w:r w:rsidRPr="00563833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563833">
        <w:t>Росреестра</w:t>
      </w:r>
      <w:proofErr w:type="spellEnd"/>
      <w:r w:rsidRPr="00563833">
        <w:t xml:space="preserve"> от 04.08.2021 № П/0336</w:t>
      </w:r>
      <w:r w:rsidR="007045DD" w:rsidRPr="00563833">
        <w:t xml:space="preserve"> (далее – Методические указания)</w:t>
      </w:r>
      <w:r w:rsidRPr="00563833">
        <w:t>.</w:t>
      </w:r>
    </w:p>
    <w:p w:rsidR="00C3792C" w:rsidRPr="00563833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 xml:space="preserve">Кадастровая стоимость </w:t>
      </w:r>
      <w:r w:rsidR="007045DD" w:rsidRPr="00563833">
        <w:t>земельного участка</w:t>
      </w:r>
      <w:r w:rsidRPr="00563833">
        <w:t xml:space="preserve"> с кадастровым номером </w:t>
      </w:r>
      <w:r w:rsidR="00095BFC" w:rsidRPr="00563833">
        <w:t>77:02:0016003:1</w:t>
      </w:r>
      <w:r w:rsidR="00752824" w:rsidRPr="00563833">
        <w:t xml:space="preserve"> </w:t>
      </w:r>
      <w:r w:rsidRPr="00563833">
        <w:t xml:space="preserve">(далее – </w:t>
      </w:r>
      <w:r w:rsidR="007045DD" w:rsidRPr="00563833">
        <w:t>Земельный участок</w:t>
      </w:r>
      <w:r w:rsidRPr="00563833">
        <w:t xml:space="preserve">) </w:t>
      </w:r>
      <w:r w:rsidR="002F7AE9" w:rsidRPr="00563833">
        <w:t xml:space="preserve">в размере </w:t>
      </w:r>
      <w:r w:rsidR="006A1A0B" w:rsidRPr="00563833">
        <w:t>27 828 745 800,30</w:t>
      </w:r>
      <w:r w:rsidR="00752824" w:rsidRPr="00563833">
        <w:t xml:space="preserve"> </w:t>
      </w:r>
      <w:r w:rsidR="002F7AE9" w:rsidRPr="00563833">
        <w:t xml:space="preserve">руб. </w:t>
      </w:r>
      <w:r w:rsidRPr="00563833">
        <w:t>определена</w:t>
      </w:r>
      <w:r w:rsidR="00D51818" w:rsidRPr="00563833">
        <w:t xml:space="preserve"> </w:t>
      </w:r>
      <w:r w:rsidR="00752824" w:rsidRPr="00563833">
        <w:t xml:space="preserve">в соответствии </w:t>
      </w:r>
      <w:r w:rsidR="007A5B89">
        <w:br/>
      </w:r>
      <w:r w:rsidR="00752824" w:rsidRPr="00563833">
        <w:t>со статьей</w:t>
      </w:r>
      <w:r w:rsidRPr="00563833">
        <w:t xml:space="preserve"> </w:t>
      </w:r>
      <w:r w:rsidR="00742493" w:rsidRPr="00563833">
        <w:t>16</w:t>
      </w:r>
      <w:r w:rsidRPr="00563833">
        <w:t xml:space="preserve"> Закон</w:t>
      </w:r>
      <w:r w:rsidR="00E14C9C" w:rsidRPr="00563833">
        <w:t>а о ГКО</w:t>
      </w:r>
      <w:r w:rsidRPr="00563833">
        <w:t xml:space="preserve"> с учетом вида разрешенного использования «</w:t>
      </w:r>
      <w:r w:rsidR="00742493" w:rsidRPr="00563833">
        <w:t xml:space="preserve">размещение жилых помещений различного вида и обеспечение проживания в них. Содержание данного вида разрешенного использования включает в себя содержание видов разрешенного использования </w:t>
      </w:r>
      <w:r w:rsidR="007A5B89">
        <w:br/>
      </w:r>
      <w:r w:rsidR="00742493" w:rsidRPr="00563833">
        <w:t>с кодами 2.1.0, 2.1.1.0, 2.2.0, 2.3.0, 2.5.0, 2.7.1.0, 2.7.0, 2.6.0 (2.0.0); размещение объектов капитального</w:t>
      </w:r>
      <w:r w:rsidR="00563833">
        <w:t xml:space="preserve"> строительства, предназначенных </w:t>
      </w:r>
      <w:r w:rsidR="00742493" w:rsidRPr="00563833">
        <w:t xml:space="preserve">для профессионального образования </w:t>
      </w:r>
      <w:r w:rsidR="007A5B89">
        <w:br/>
      </w:r>
      <w:r w:rsidR="00742493" w:rsidRPr="00563833">
        <w:t xml:space="preserve">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</w:t>
      </w:r>
      <w:r w:rsidR="007A5B89">
        <w:br/>
      </w:r>
      <w:r w:rsidR="00742493" w:rsidRPr="00563833">
        <w:t>по переподготовке и повышению квалификации специалистов, автошколы и иные организации, осуществляю</w:t>
      </w:r>
      <w:r w:rsidR="00563833">
        <w:t xml:space="preserve">щие деятельность по образованию </w:t>
      </w:r>
      <w:r w:rsidR="00742493" w:rsidRPr="00563833">
        <w:t xml:space="preserve">и просвещению) (3.5.2.0); размещение объектов капитального строительства в целях извлечения прибыли на основании торговой, банковской </w:t>
      </w:r>
      <w:r w:rsidR="007A5B89">
        <w:br/>
      </w:r>
      <w:r w:rsidR="00742493" w:rsidRPr="00563833">
        <w:t xml:space="preserve">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</w:t>
      </w:r>
      <w:r w:rsidR="00563833">
        <w:br/>
      </w:r>
      <w:r w:rsidR="00742493" w:rsidRPr="00563833">
        <w:t>с кодами 4.1.0, 4.2.0, 4.3.0, 4.4.0, 4.5.0, 4.6.0, 4.8.0, 4.9.0, 4.10.0 (4.0.0); размещение постоянных или временных гаражей с несколькими стояночными местами, стоянок (парковок), гар</w:t>
      </w:r>
      <w:r w:rsidR="00563833">
        <w:t xml:space="preserve">ажей, </w:t>
      </w:r>
      <w:r w:rsidR="00563833">
        <w:br/>
        <w:t xml:space="preserve">в том числе многоярусных, </w:t>
      </w:r>
      <w:r w:rsidR="00742493" w:rsidRPr="00563833">
        <w:t>не указанных в коде 2.7.1.0 (4.9.0); размещение объе</w:t>
      </w:r>
      <w:r w:rsidR="00563833">
        <w:t xml:space="preserve">ктов капитального строительства </w:t>
      </w:r>
      <w:r w:rsidR="00742493" w:rsidRPr="00563833">
        <w:t xml:space="preserve">в качестве спортивных клубов, спортивных залов, бассейнов, физкультурно- оздоровительных комплексов, фитнес-центров (5.1.2); устройство площадок </w:t>
      </w:r>
      <w:r w:rsidR="00563833">
        <w:br/>
      </w:r>
      <w:r w:rsidR="00742493" w:rsidRPr="00563833">
        <w:t xml:space="preserve">для занятия спортом и физкультурой (беговые дорожки, спортивные сооружения, теннисные корты, поля для спортивной игры, автодромы, мотодромы, трамплины и т.п., трассы </w:t>
      </w:r>
      <w:r w:rsidR="00563833">
        <w:br/>
      </w:r>
      <w:r w:rsidR="00742493" w:rsidRPr="00563833">
        <w:t>и спортивные стрельбища), в том числе водными видами спорта (пр</w:t>
      </w:r>
      <w:r w:rsidR="00095BFC" w:rsidRPr="00563833">
        <w:t>ичалы и сооружения, необходимые</w:t>
      </w:r>
      <w:r w:rsidR="00563833">
        <w:t xml:space="preserve"> </w:t>
      </w:r>
      <w:r w:rsidR="00742493" w:rsidRPr="00563833">
        <w:t xml:space="preserve">для водных видов спорта и хранения соответствующего инвентаря) (5.1.3); размещение береговых полос водных объектов общего пользования, скверов, бульваров, парков, садов, велодорожек и объектов </w:t>
      </w:r>
      <w:proofErr w:type="spellStart"/>
      <w:r w:rsidR="00742493" w:rsidRPr="00563833">
        <w:t>велотранспортной</w:t>
      </w:r>
      <w:proofErr w:type="spellEnd"/>
      <w:r w:rsidR="00742493" w:rsidRPr="00563833">
        <w:t xml:space="preserve"> инфраструктуры, малых архитектурных форм (12.0.1); размещение объектов улично-дорожной сети: проездов, площадей, автомобильных дорог и пешеходных тротуаров, пешеходных переходов, набережных, искусственных </w:t>
      </w:r>
      <w:r w:rsidR="00742493" w:rsidRPr="00563833">
        <w:lastRenderedPageBreak/>
        <w:t xml:space="preserve">сооружений, велодорожек и объектов </w:t>
      </w:r>
      <w:proofErr w:type="spellStart"/>
      <w:r w:rsidR="00742493" w:rsidRPr="00563833">
        <w:t>велотранспортной</w:t>
      </w:r>
      <w:proofErr w:type="spellEnd"/>
      <w:r w:rsidR="00742493" w:rsidRPr="00563833">
        <w:t xml:space="preserve"> инфраструктуры (12.0.2)</w:t>
      </w:r>
      <w:r w:rsidR="00E14C9C" w:rsidRPr="00563833">
        <w:t>»</w:t>
      </w:r>
      <w:r w:rsidR="00752824" w:rsidRPr="00563833">
        <w:t xml:space="preserve"> </w:t>
      </w:r>
      <w:r w:rsidRPr="00563833">
        <w:t xml:space="preserve">с учетом </w:t>
      </w:r>
      <w:r w:rsidR="00563833">
        <w:br/>
      </w:r>
      <w:r w:rsidRPr="00563833">
        <w:t xml:space="preserve">его отнесения к группе </w:t>
      </w:r>
      <w:r w:rsidR="00742493" w:rsidRPr="00563833">
        <w:t>1</w:t>
      </w:r>
      <w:r w:rsidR="00752824" w:rsidRPr="00563833">
        <w:t xml:space="preserve"> «</w:t>
      </w:r>
      <w:r w:rsidR="00742493" w:rsidRPr="00563833">
        <w:t>Земельные участки, предназначенные для размещения объектов многоэтажной жилой застройки</w:t>
      </w:r>
      <w:r w:rsidR="00752824" w:rsidRPr="00563833">
        <w:t xml:space="preserve">», подгруппе </w:t>
      </w:r>
      <w:r w:rsidR="00742493" w:rsidRPr="00563833">
        <w:t>1</w:t>
      </w:r>
      <w:r w:rsidR="00752824" w:rsidRPr="00563833">
        <w:t>.1 «</w:t>
      </w:r>
      <w:r w:rsidR="00742493" w:rsidRPr="00563833">
        <w:t>Зем</w:t>
      </w:r>
      <w:r w:rsidR="00095BFC" w:rsidRPr="00563833">
        <w:t>ельные участки, предназначенные</w:t>
      </w:r>
      <w:r w:rsidR="00095BFC" w:rsidRPr="00563833">
        <w:br/>
      </w:r>
      <w:r w:rsidR="00742493" w:rsidRPr="00563833">
        <w:t>для размещения объектов многоэтажной жилой застройки (основная территория)</w:t>
      </w:r>
      <w:r w:rsidR="00C3792C" w:rsidRPr="00563833">
        <w:t>».</w:t>
      </w:r>
    </w:p>
    <w:p w:rsidR="008F5BD4" w:rsidRPr="00563833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3A4C25" w:rsidRPr="00563833">
        <w:t xml:space="preserve"> </w:t>
      </w:r>
      <w:r w:rsidRPr="00563833">
        <w:t xml:space="preserve">(далее – Отчет) </w:t>
      </w:r>
      <w:r w:rsidR="00563833">
        <w:br/>
      </w:r>
      <w:r w:rsidRPr="00563833">
        <w:t>и в разделе 3.7.</w:t>
      </w:r>
      <w:r w:rsidR="00742493" w:rsidRPr="00563833">
        <w:t>1</w:t>
      </w:r>
      <w:r w:rsidR="00752824" w:rsidRPr="00563833">
        <w:t>.</w:t>
      </w:r>
      <w:r w:rsidRPr="00563833">
        <w:t>1 Тома 4 Отчета.</w:t>
      </w:r>
    </w:p>
    <w:p w:rsidR="008F5BD4" w:rsidRPr="00563833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5BD4" w:rsidRPr="00563833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="00563833">
        <w:t xml:space="preserve"> </w:t>
      </w:r>
      <w:r w:rsidRPr="00563833">
        <w:t xml:space="preserve">с кодами расчета видов использования независимо от категории земель на 14 основных сегментов в соответствии </w:t>
      </w:r>
      <w:r w:rsidR="00563833">
        <w:br/>
      </w:r>
      <w:r w:rsidRPr="00563833">
        <w:t xml:space="preserve">с приложением № 1 к Методическим указаниям. </w:t>
      </w:r>
    </w:p>
    <w:p w:rsidR="008F5BD4" w:rsidRPr="00563833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При этом согласно пункту 8 части I Методических указаний определение кадастровой стоимости объекта недвижимости осуществляется на основе того</w:t>
      </w:r>
      <w:r w:rsidR="003A4C25" w:rsidRPr="00563833">
        <w:t xml:space="preserve"> </w:t>
      </w:r>
      <w:r w:rsidRPr="00563833">
        <w:t xml:space="preserve"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563833" w:rsidRPr="00563833" w:rsidRDefault="00563833" w:rsidP="00563833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В соответствии с пунктом 19 части II Методических указаний в рамках подготовки</w:t>
      </w:r>
      <w:r w:rsidRPr="00563833">
        <w:br/>
        <w:t>к государственной кадастровой оценке осуществляются в том числе сбор, обработка</w:t>
      </w:r>
      <w:r w:rsidRPr="00563833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563833" w:rsidRPr="00563833" w:rsidRDefault="00563833" w:rsidP="00563833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</w:t>
      </w:r>
      <w:r>
        <w:br/>
      </w:r>
      <w:r w:rsidRPr="00563833">
        <w:t xml:space="preserve">в целях повышения достоверности результатов определения кадастровой стоимости, </w:t>
      </w:r>
      <w:r>
        <w:br/>
      </w:r>
      <w:r w:rsidRPr="00563833">
        <w:t xml:space="preserve">с обязательной индексацией этих результатов на дату определения кадастровой стоимости. </w:t>
      </w:r>
    </w:p>
    <w:p w:rsidR="00563833" w:rsidRPr="00563833" w:rsidRDefault="00563833" w:rsidP="00563833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317192" w:rsidRPr="00563833" w:rsidRDefault="008F5BD4" w:rsidP="00563833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</w:pPr>
      <w:r w:rsidRPr="00563833">
        <w:t xml:space="preserve">Ошибок, </w:t>
      </w:r>
      <w:r w:rsidR="00563833">
        <w:t xml:space="preserve">указанных в заявлении </w:t>
      </w:r>
      <w:r w:rsidR="00563833" w:rsidRPr="00563833">
        <w:t>от 30.10.2024 № 01-20601/24</w:t>
      </w:r>
      <w:r w:rsidR="00563833" w:rsidRPr="00916C25">
        <w:t>, не выявлено.</w:t>
      </w:r>
    </w:p>
    <w:sectPr w:rsidR="00317192" w:rsidRPr="00563833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E73E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BFC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10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0D3F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3833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005A"/>
    <w:rsid w:val="006915E8"/>
    <w:rsid w:val="00691BD1"/>
    <w:rsid w:val="00692466"/>
    <w:rsid w:val="00694B07"/>
    <w:rsid w:val="0069547D"/>
    <w:rsid w:val="00695ADA"/>
    <w:rsid w:val="006A09B8"/>
    <w:rsid w:val="006A1A0B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493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5B89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3E7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17DD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6BAE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48E967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E3DF-983A-4459-B801-4E44AB03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847</Words>
  <Characters>4830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2024-11-08T09:01:00Z</dcterms:created>
  <dcterms:modified xsi:type="dcterms:W3CDTF">2024-11-25T05:53:00Z</dcterms:modified>
</cp:coreProperties>
</file>